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body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Постановление Главного государственного санитарного врача РФ 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от 9 июня 2003 г. N 135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"О введении в действие санитарных правил и нормативов - СанПиН 2.2.4.1383-03"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(с изменениями от 19 декабря 2007 г.)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 основании Федерального закона "О санитарно-эпидемиологическом благополучии населения" от 30 марта 1999 г. N 52-ФЗ (Собрание законодательства Российской Федерации, 1999, N 14, ст.1650) и Положения о государственном санитарно-эпидемиологическом нормировании, утвержденного постановлением Правительства Российской Федерации от 24 июля 2000 г. N 554 (Собрание законодательства Российской Федерации, 2000, N 31, ст.3295) постановляю: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0" w:name="sub_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Ввести в действие с 30 июня 2003 года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Санитарно-эпидемиологические правила и нормативы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"Гигиенические требования к размещению и эксплуатации передающих радиотехнических объектов. СанПиН 2.1.8/2.2.4.1383-03, утвержденные Главным государственным санитарным врачом Российской Федерации 9 июня 2003 г.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tbl>
      <w:tblPr>
        <w:tblW w:type="auto" w:w="0"/>
        <w:tblInd w:type="dxa" w:w="-108"/>
        <w:tblBorders>
          <w:top w:color="000000" w:space="0" w:sz="2" w:val="none"/>
          <w:left w:color="000000" w:space="0" w:sz="2" w:val="none"/>
          <w:bottom w:color="000000" w:space="0" w:sz="2" w:val="none"/>
          <w:right w:color="000000" w:space="0" w:sz="2" w:val="none"/>
          <w:insideH w:color="000000" w:space="0" w:sz="2" w:val="none"/>
          <w:insideV w:color="000000" w:space="0" w:sz="2" w:val="none"/>
        </w:tblBorders>
        <w:tblLayout w:type="auto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2880"/>
        <w:gridCol w:w="2880"/>
      </w:tblGrid>
      <w:tr>
        <w:tc>
          <w:tcPr>
            <w:vAlign w:val="top"/>
            <w:textDirection w:val="lrTb"/>
            <w:vAlign w:val="top"/>
            <w:tcW w:type="dxa" w:w="2880"/>
            <w:tcMar>
              <w:right w:type="dxa" w:w="108"/>
              <w:bottom w:type="dxa" w:w="0"/>
              <w:left w:type="dxa" w:w="108"/>
              <w:top w:type="dxa" w:w="0"/>
            </w:tcMar>
            <w:tcBorders>
              <w:top w:color="000000" w:space="0" w:sz="2" w:val="none"/>
              <w:left w:color="000000" w:space="0" w:sz="2" w:val="none"/>
              <w:bottom w:color="000000" w:space="0" w:sz="2" w:val="none"/>
              <w:right w:color="000000" w:space="0" w:sz="2" w:val="none"/>
            </w:tcBorders>
          </w:tcPr>
          <w:p>
            <w:pPr>
              <w:pStyle w:val="StGen0"/>
              <w:ind w:firstLine="0"/>
              <w:spacing w:after="0" w:line="276" w:lineRule="auto"/>
              <w:jc w:val="left"/>
            </w:pPr>
            <w:r/>
          </w:p>
        </w:tc>
        <w:tc>
          <w:tcPr>
            <w:vAlign w:val="top"/>
            <w:textDirection w:val="lrTb"/>
            <w:vAlign w:val="top"/>
            <w:tcW w:type="dxa" w:w="2880"/>
            <w:tcMar>
              <w:right w:type="dxa" w:w="108"/>
              <w:bottom w:type="dxa" w:w="0"/>
              <w:left w:type="dxa" w:w="108"/>
              <w:top w:type="dxa" w:w="0"/>
            </w:tcMar>
            <w:tcBorders>
              <w:top w:color="000000" w:space="0" w:sz="2" w:val="none"/>
              <w:left w:color="000000" w:space="0" w:sz="2" w:val="none"/>
              <w:bottom w:color="000000" w:space="0" w:sz="2" w:val="none"/>
              <w:right w:color="000000" w:space="0" w:sz="2" w:val="none"/>
            </w:tcBorders>
          </w:tcPr>
          <w:p>
            <w:pPr>
              <w:pStyle w:val="StGen0"/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ind w:firstLine="0"/>
              <w:spacing w:after="0" w:line="276" w:lineRule="auto"/>
              <w:jc w:val="right"/>
            </w:pP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Г.Г.Онищенко</w:t>
            </w:r>
          </w:p>
        </w:tc>
      </w:tr>
    </w:tbl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Зарегистрировано в Минюсте РФ 18 июня 2003 г.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Регистрационный N 4710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1" w:name="sub_10000"/>
      <w:bookmarkStart w:id="2" w:name="sub_411638808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Настоящие СанПиН </w:t>
      </w:r>
      <w:r>
        <w:fldChar w:fldCharType="begin"/>
      </w:r>
      <w:r>
        <w:instrText xml:space="preserve"> HYPERLINK "/l%20sub_1" </w:instrText>
      </w:r>
      <w:r>
        <w:fldChar w:fldCharType="separate"/>
      </w:r>
      <w:r>
        <w:rPr>
          <w:i w:val="false"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вводятся в действие</w:instrText>
      </w:r>
      <w:r>
        <w:fldChar w:fldCharType="end"/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с 30 июня 2003 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bookmarkEnd w:id="1"/>
      <w:bookmarkEnd w:id="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Санитарно-эпидемиологические правила и нормативы СанПиН 2.1.8/2.2.4.1383-03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"Гигиенические требования к размещению и эксплуатации передающих радиотехнических объектов"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(с изменениями от 19 декабря 2007 г.)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3" w:name="sub_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I. Общие положения и область применения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" w:name="sub_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1.1. Настоящие государственные санитарно-эпидемиологические правила и нормативы (Санитарные правила) разработаны в соответствии с Федеральным законом "О санитарно-эпидемиологическом благополучии населения от 30 марта 1999 года N 52-ФЗ (Собрание законодательства Российской Федерации, 1999, N 14, ст.1650) и Положением о государственном санитарно-эпидемиологическом нормировании, утвержденного постановлением Правительства Российской Федерации N 554 от 24 июля 2000 года (Собрание законодательства Российской Федерации, 2000, N 31, ст.3295).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"/>
      <w:bookmarkStart w:id="5" w:name="sub_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1.2. Санитарные правила действуют на всей территории Российской Федерации и устанавливают гигиенические требования к размещению и эксплуатации стационарных передающих радиотехнических объектов (ПРТО), работающих в диапазоне частот 30 кГц - 300 ГГц, в том числе находящихся на специальных испытательных полигонах.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"/>
      <w:bookmarkStart w:id="6" w:name="sub_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1.3. Действие настоящих Санитарных правил распространяется также на ПРТО, установленные на транспортных средствах (летательных аппаратах, морских и речных судах, поездах) на период их эксплуатации на постоянных или временных стоянках.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"/>
      <w:bookmarkStart w:id="7" w:name="sub_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1.4. Требования Санитарных правил направлены на предотвращение неблагоприятного влияния на здоровье человека электромагнитных полей радиочастотного диапазона (ЭМП РЧ), создаваемых ПРТО радиосвязи, радиовещания, телевидения, радиолокации, радиолюбительского диапазона (3 - 30 МГц).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"/>
      <w:bookmarkStart w:id="8" w:name="sub_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1.5. Требования настоящих Санитарных правил не распространяются на средства сухопутной подвижной радиосвязи, включая абонентские терминалы спутниковой связи, средства морской, речной и воздушной подвижной радиосвязи, размещенные на подвижных объектах, во время движения.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"/>
      <w:bookmarkStart w:id="9" w:name="sub_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1.6. Санитарные правила предназначаются для юридических лиц, индивидуальных предпринимателей и граждан, осуществляющих проектирование, строительство, реконструкцию и эксплуатацию ПРТО, а также для органов и учреждений санитарно-эпидемиологической службы Российской Федерации, осуществляющей государственный надзор.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"/>
      <w:bookmarkStart w:id="10" w:name="sub_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1.7. Производство, закупка, реализация и эксплуатация оборудования ПРТО должны осуществляться при наличии санитарно-эпидемиологического заключения на конкретный тип (модель) изделия в соответствии с установленным порядком.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11" w:name="sub_41164215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О порядке подготовки и оформления санитарно-эпидемиологических заключений на передающие радиотехнические объекты см. Методические указания МУ 4.3.2320-08, утвержденные Главным государственным санитарным врачом РФ 22 января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bookmarkEnd w:id="11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2" w:name="sub_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1.8. Соблюдение требований настоящих Санитарных правил является обязательным для индивидуальных предпринимателей, юридических лиц и граждан.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3" w:name="sub_2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II. Нормируемые параметры и единицы измерения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3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4" w:name="sub_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2.1. Оценка воздействия ЭМП РЧ ПРТО на население осуществляется: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диапазоне частот 30 кГц - 300 МГц - по эффективным значениям напряженности электрического поля (Е), В/м;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в диапазоне частот 300 МГц - 300 ГГц - по средним значениям плотности потока энергии (ППЭ), мкВт/см2.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5" w:name="sub_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2.2. Оценка воздействия ЭЭ_Н на персонал, обслуживающий оборудование ПРТО, осуществляется по энергетической экспозиции электрического поля ЭЭ_ППЭ, магнитного поля ЭЭН, плотности потока энергии ЭЭ_ППЭ.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Энергетическая экспозиция в диапазоне частот 30 кГц - 300 МГц рассчитывается по формулам: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               2          2</w:t>
      </w:r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         ЭЭ = Е х Т, (В/м) х ч;</w:t>
      </w:r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           Е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               2          2</w:t>
      </w:r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         ЭЭ = Н х Т, (А/м) х ч,</w:t>
      </w:r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           Н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где: Е - напряженность электрического поля; Н - напряженность магнитного поля.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Энергетическая экспозиция в диапазоне частот 300 МГц - 300 ГГц рассчитывается по формуле: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ЭЭ   = ППЭ х Т, (Вт/м2) х ч , {(мкВт/см2) x ч},</w:t>
      </w:r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  ППЭ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где Т - время воздействия (в часах).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16" w:name="sub_3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III. Гигиенические требования к передающим радиотехническим объектам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1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7" w:name="sub_3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3.1. Оборудование ПРТО не должно создавать на рабочих местах персонала электромагнитных полей, превышающих предельно допустимые уровни (ПДУ), указанные в приложении 1 (</w:t>
      </w:r>
      <w:r>
        <w:fldChar w:fldCharType="begin"/>
      </w:r>
      <w:r>
        <w:instrText xml:space="preserve"> HYPERLINK "/l%20sub_1100"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таблица 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7"/>
      <w:bookmarkStart w:id="18" w:name="sub_3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3.2. Санитарно-эпидемиологические требования к условиям труда работающих, подвергающихся в процессе трудовой деятельности профессиональному воздействию ЭМП различных частотных диапазонов при любом характере воздействия ЭМП, должны соответствовать требованиям Санитарных правил по электромагнитным полям в производственных условиях.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8"/>
      <w:bookmarkStart w:id="19" w:name="sub_3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3.3. Уровни ЭМП, создаваемые ПРТО на селитебной территории, в местах массового отдыха, внутри жилых, общественных и производственных помещений, подвергающихся воздействию внешнего ЭМП РЧ, не должны превышать ПДУ, указанных в приложении 1 (</w:t>
      </w:r>
      <w:r>
        <w:fldChar w:fldCharType="begin"/>
      </w:r>
      <w:r>
        <w:instrText xml:space="preserve"> HYPERLINK "/l%20sub_1200"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таблица 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 с учетом вторичного излучения.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Представленные в таблице 2 ПДУ для населения распространяются также на другие источники ЭМП РЧ.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0" w:name="sub_3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3.4. При одновременном облучении от нескольких источников, для которых установлены одни и те же ПДУ, должны соблюдаться следующие условия: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n    2 1/2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(Сумма Е )   &lt;= Е   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i=1   i        ПДУ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n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Сумма ППЭ &lt;= ППЭ   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i=1     i      ПДУ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где: E - напряженность электрического поля,  создаваемая  источником  ЭМП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i  под i-тым номером;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ППЭ  - плотность потока  энергии, создаваемая источником ЭМП под  i-тым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i   номером;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Е    - ПДУ напряженности электрического поля нормируемого диапазона;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ПДУ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ППЭ  - ПДУ плотности потока энергии нормируемого диапазона;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ПДУ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n - количество источников ЭМП.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одновременном облучении от нескольких источников ЭМП, для которых установлены разные ПДУ, должны соблюдаться следующие условия: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m                   2    q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Сумма (Е      /E     ) + Сумма (ППЭ      /ППЭ     ) &lt;= 1,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j=1    сумм j  ПДУ j     k=1      сумм k    ПДУ k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где: E       - суммарная напряженность электрического  поля,  создаваемая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сумм j   источниками ЭМП j-того нормируемого диапазона;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Е       - ПДУ    напряженности      электрического   поля     j-того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ПДУ j    нормируемого диапазона;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ППЭ     - суммарная    плотность    потока    энергии,   создаваемая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сумм k источниками ЭМП k-го нормируемого диапазона;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ППЭ     - ПДУ   плотности  потока   энергии     k-того  нормируемого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ПДУ k  диапазона;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m       - количество диапазонов, для которых нормируется Е;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q       - количество диапазонов, для которых нормируется ППЭ.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21" w:name="sub_35"/>
      <w:bookmarkStart w:id="22" w:name="sub_411662704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пункт 3.5 настоящих Санитарно-эпидемиологических правил и нормативов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21"/>
      <w:bookmarkEnd w:id="2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3.5. Уровни напряженности электрического и магнитного поля частотой 50 Гц, создаваемые питающим и силовым оборудованием ПРТО внутри жилых и общественных зданий, не должны превышать ПДУ для населения.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3" w:name="sub_3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3.6. На территориях (крышах), куда исключен доступ людей, не связанных непосредственно с обслуживанием оборудования ПРТО, должны соблюдаться требования для условий производственных воздействий ЭМП.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3"/>
      <w:bookmarkStart w:id="24" w:name="sub_3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3.7. Утверждение проектной документации по строительству, реконструкции, техническому перевооружению, расширению и ввод в эксплуатацию построенных и реконструированных ПРТО допускается при наличии санитарно-эпидемиологических заключений о соответствии их настоящим Санитарным правилам.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4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25" w:name="sub_38"/>
      <w:bookmarkStart w:id="26" w:name="sub_411666744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пункт 3.8 настоящих Санитарно-эпидемиологических правил и нормативов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25"/>
      <w:bookmarkEnd w:id="26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3.8. Санитарно-эпидемиологические заключения выдаются Территориальными управлениями Федеральной службы в сфере защиты прав потребителей и благополучия человека (далее Территориальными управлениями Роспотребнадзора) в субъектах Российской Федерации на основании результатов санитарно-эпидемиологической экспертизы.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Санитарно-эпидемиологическая экспертиза осуществляется органами и учреждениями Госсанэпиднадзора, организациями, экспертами, аккредитованными в установленном порядке.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27" w:name="sub_39"/>
      <w:bookmarkStart w:id="28" w:name="sub_41166911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пункт 3.9 настоящих Санитарно-эпидемиологических правил и нормативов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27"/>
      <w:bookmarkEnd w:id="28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3.9. Санитарно-эпидемиологические заключения на ПРТО, расположенные на территориях и объектах специального назначения, выдаются Управлениями Роспотребнадзора в субъектах Федерации в субъектах Российской Федерации при наличии положительного заключения центра Госсанэпиднадзора, осуществляющего надзор за данными объектами и территориями.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29" w:name="sub_411671268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Текст пункта 3.9. настоящих Санитарно-эпидемиологических правил и нормативов приводится в соответствии с внесенными изменениями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bookmarkEnd w:id="29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0" w:name="sub_3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3.10. </w:t>
      </w:r>
      <w:r>
        <w:fldChar w:fldCharType="begin"/>
      </w:r>
      <w:r>
        <w:instrText xml:space="preserve"> HYPERLINK "/l%20sub_2000"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Перечень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сведений и материалов, подлежащих включению в санитарно-эпидемиологическое заключение и приложения к нему, представлен в 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 Обязанность представления этих сведений и материалов, а также организация проведения расчетов распределения уровней ЭМП, границ санитарно-защитной зоны и зон ограничения, измерений уровней ЭМП лежит на владельце (администрации) ПРТО.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31" w:name="sub_411673548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По-видимому, в тексте предыдущего абзаца допущена опечатка. Номер приложения следует читать как "</w:t>
      </w:r>
      <w:r>
        <w:fldChar w:fldCharType="begin"/>
      </w:r>
      <w:r>
        <w:instrText xml:space="preserve"> HYPERLINK "/l%20sub_2000" </w:instrText>
      </w:r>
      <w:r>
        <w:fldChar w:fldCharType="separate"/>
      </w:r>
      <w:r>
        <w:rPr>
          <w:i w:val="false"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Приложении 2</w:instrText>
      </w:r>
      <w:r>
        <w:fldChar w:fldCharType="end"/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"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bookmarkEnd w:id="31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2" w:name="sub_3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3.11. При размещении на территории (опоре, крыше здания) ПРТО антенн нескольких передатчиков проводится санитарно-эпидемиологическая экспертиза на ПРТО в целом. Санитарно-эпидемиологическое заключение также выдается на ПРТО в целом.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2"/>
      <w:bookmarkStart w:id="33" w:name="sub_3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3.12. Не требует санитарно-эпидемиологического заключения уменьшение мощности излучения, демонтаж и окончательный вывод из работы передатчиков и антенн. Владелец (администрация) ПРТО обязан направить информацию об этом в центр Госсанэпиднадзора в субъекте Российской Федерации и, в соответствующих случаях, в специализированный центр Госсанэпиднадзора.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3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34" w:name="sub_313"/>
      <w:bookmarkStart w:id="35" w:name="sub_411675836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пункт 3.13 настоящих Санитарно-эпидемиологических правил и нормативов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34"/>
      <w:bookmarkEnd w:id="35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3.13. Не требуется получения санитарно-эпидемиологического заключения на размещение, ввод в эксплуатацию и эксплуатацию ПРТО с эффективной излучаемой мощностью не более: 200 Вт - в диапазоне частот 30 кГц - 3 МГц, 100 Вт - в диапазоне частот 3 - 30 МГц, 10 Вт - в диапазоне частот 30 МГц - 300 ГГц, при условии размещения антенны вне здания.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Не требуется получения санитарно-эпидемиологического заключения на земные станции спутниковой связи (далее - ЗССС) с максимальной мощностью передатчика до 2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Вт и диаметром антенны до 2,4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 включительно, а также ЗССС определенных типов при условии соблюдения требований к их размещению в соответствии с </w:t>
      </w:r>
      <w:r>
        <w:fldChar w:fldCharType="begin"/>
      </w:r>
      <w:r>
        <w:instrText xml:space="preserve"> HYPERLINK "/l%20sub_3000"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приложением 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 При санитарно-эпидемиологической экспертизе таких ЗССС, как продукции, контролируется уровень ППЭ в точке, находящейся на уровне излучателя под углом 90° к линии направления излучения на расстоянии 1,5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 при излучении на максимальной рабочей мощности. Его величина не должна превышать 10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мкВт/см2.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размещенными вне здания считаются антенны, находящиеся вне помещений, не на балконе, подоконнике или внешней стороне стен здания.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36" w:name="sub_3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3.14. При размещении антенн радиолюбительских радиостанций (РРС) диапазона 3 - 30 МГц, радиостанций гражданского диапазона частот 26,5 - 27,5 МГц (РГД) с эффективной излучаемой мощностью более 100 Вт до 1000 Вт включительно, должна быть обеспечена невозможность доступа людей в зону установки антенны на расстояние не менее 10 м от любой ее точки. При установке на здании антенна должна быть смонтирована на высоте не менее 1,5 м над крышей при обеспечении расстояния от любой ее точки до соседних строений не менее 10 м для любого типа антенны и любого направления излучения.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6"/>
      <w:bookmarkStart w:id="37" w:name="sub_3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3.15.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излучения. При установке на крыше здания антенна должна монтироваться на высоте не менее 5 м над крышей.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7"/>
      <w:bookmarkStart w:id="38" w:name="sub_3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3.16. Рекомендуется размещение антенн ПРТО (в т.ч. РРС, РГД) на отдельно стоящих опорах и мачтах.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3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Допускается размещение передающих антенн на крышах жилых, общественных и других зданий и в иных местах при соблюдении условий по </w:t>
      </w:r>
      <w:r>
        <w:fldChar w:fldCharType="begin"/>
      </w:r>
      <w:r>
        <w:instrText xml:space="preserve"> HYPERLINK "/l%20sub_33"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п.п.3.3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"/l%20sub_34"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3.4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"/l%20sub_314"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3.14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</w:t>
      </w:r>
      <w:r>
        <w:fldChar w:fldCharType="begin"/>
      </w:r>
      <w:r>
        <w:instrText xml:space="preserve"> HYPERLINK "/l%20sub_315"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3.15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Размещение только приемных антенн не ограничивается и не требует получения санитарно-эпидемиологических заключений.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39" w:name="sub_317"/>
      <w:bookmarkStart w:id="40" w:name="sub_41168249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пункт 3.17 настоящих Санитарно-эпидемиологических правил и нормативов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39"/>
      <w:bookmarkEnd w:id="40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3.17. В целях защиты населения от воздействия ЭМП, создаваемых антеннами ПРТО, устанавливаются санитарно-защитные зоны (СЗЗ) и зоны ограничения с учетом перспективного развития ПРТО и населенного пункта.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Границы СЗЗ определяются на высоте 2 м от поверхности земли по ПДУ, указанным в </w:t>
      </w:r>
      <w:r>
        <w:fldChar w:fldCharType="begin"/>
      </w:r>
      <w:r>
        <w:instrText xml:space="preserve"> HYPERLINK "/l%20sub_33"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п.п.3.3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и </w:t>
      </w:r>
      <w:r>
        <w:fldChar w:fldCharType="begin"/>
      </w:r>
      <w:r>
        <w:instrText xml:space="preserve"> HYPERLINK "/l%20sub_34"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3.4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Зона ограничения представляет собой территорию, на внешних границах которой на высоте от поверхности земли более 2 м уровни ЭМП превышают ПДУ по п.п.3.3 и 3.4.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Внешняя граница зоны ограничения определяется по максимальной высоте зданий перспективной застройки, на высоте верхнего этажа которых уровень ЭМП не превышает ПДУ по п.п.3.3 и 3.4.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Для ПРТО с мощностью передатчиков более 100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кВт, расположенных в черте жилой застройки, границы СЗЗ устанавливаются решением Главного государственного санитарного врача Российской Федерации или его заместителя по результатам санитарно-эпидемиологической экспертизы, проводимой ФГУЗ "Федеральный центр гигиены и эпидемиологии" профильным научно-исследовательским институтом.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41" w:name="sub_318"/>
      <w:bookmarkStart w:id="42" w:name="sub_411685676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пункт 3.18 настоящих Санитарно-эпидемиологических правил и нормативов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41"/>
      <w:bookmarkEnd w:id="4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3.18. Запрещается без согласования с Управлением Роспотребнадзора в субъекте Федерации внесение изменений в условия и режимы работы ПРТО (в т.ч. РРС, РГД), которые приводят к увеличению уровней ЭМП на селитебной территории.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3" w:name="sub_3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3.19. СЗЗ и зона ограничений не могут иметь статус селитебной территории, а также не могут использоваться для размещения площадок для стоянки и остановки всех видов транспорта, предприятий по обслуживанию автомобилей, бензозаправочных станций, складов нефти и нефтепродуктов и т.п.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СЗЗ и зона ограничений или какая-либо их часть не могут рассматриваться как резервная территория ПРТО и использоваться для расширения промышленной площадки.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СЗЗ не может рассматриваться как территория для размещения коллективных или индивидуальных дачных и садово-огородных участков.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44" w:name="sub_320"/>
      <w:bookmarkStart w:id="45" w:name="sub_411689504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пункт 3.20 настоящих Санитарно-эпидемиологических правил и нормативов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44"/>
      <w:bookmarkEnd w:id="45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3.20. СЗЗ и зона ограничений определяются в соответствии с методическими указаниями, утвержденными Минздравом России, с учетом возможного суммирования ЭМП, создаваемых отдельными источниками, входящим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#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в состав ПРТО (</w:t>
      </w:r>
      <w:r>
        <w:fldChar w:fldCharType="begin"/>
      </w:r>
      <w:r>
        <w:instrText xml:space="preserve"> HYPERLINK "/l%20sub_34"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п.3.4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). Для ориентировочной оценки электромагнитной обстановки (напряженности электрического поля - Е, В/м) расчетным путем может быть использовано уравнение: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Кв.корень(30 х P x G x Kf)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E = ──────────────────────────── х 1,3 x Fv x Fh,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R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где:  Р          -    мощность на входе антенно-фидерного тракта, Вт;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G          -    коэффициент    усиления    антенны    относительно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изотропного излучателя в направлении максимального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излучения (безразмерная величина);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Kf         -    коэффициент  потерь  в   антенно-фидерном   тракте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(безразмерная величина);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R          -    расстояние от геометрического  центра  антенны  до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точки наблюдения (наклонная дальность), м;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Fv         -    нормированная    диаграмма        направленности в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вертикальной  плоскости  для  угла,  образованного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направлением  на  точку  наблюдения  и  плоскостью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горизонта (безразмерная величина);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Fh         -    нормированная    диаграмма        направленности в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горизонтальной   плоскости   для     азимута точки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наблюдения (безразмерная величина).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Границы СЗЗ и зон ограничения определяются расчетным методом и уточняются по результатам измерений уровней ЭМП.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6" w:name="sub_3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3.21. При определении границ СЗЗ и зон ограничения следует учитывать необходимость защиты от воздействия вторичного ЭМП, переизлучаемого элементами конструкции здания, коммуникациями, внутренней проводкой и т.д.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6"/>
      <w:bookmarkStart w:id="47" w:name="sub_3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3.22. На технической территории ПРТО и территориях специальных полигонов не допускается размещение жилых и общественных зданий.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7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48" w:name="sub_4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IV. Требования к проведению контроля уровней электромагнитных полей, создаваемых передающими радиотехническими объектами и их оборудованием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4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49" w:name="sub_41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4.1. Общие требования к проведению контроля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49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0" w:name="sub_4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4.1.1. Для контроля уровней ЭМП, создаваемых ПРТО, используются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расчетные и инструментальные методы в соответствии с методическими указаниями, утвержденными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1" w:name="sub_4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4.1.2. Расчетные методы используются для оценки электромагнитной обстановки вблизи проектируемых, действующих и реконструируемых ПРТО.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использовании расчетных методов контроля необходимо иметь информацию о типах передающих средств, рабочих частотах, режимах и мощностях, типах антенн, их параметрах и пространственном расположении, рельефе местности, наличии переотражающих поверхностей. По радиолокационным станциям дополнительно представляются сведения о частоте посылки импульсов, длительности импульса, частоте вращения антенны.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2" w:name="sub_4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4.1.3. На этапе экспертизы проектной документации используются только расчетные методы определения уровней ЭМП, создаваемых ПРТО.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2"/>
      <w:bookmarkStart w:id="53" w:name="sub_41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4.1.4. Инструментальные методы используются для контроля уровней ЭМП, создаваемых ПРТО и его оборудованием. При использовании инструментальных методов контроля должно быть обеспечено постоянство режимов и максимальной мощности излучающих средств.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3"/>
      <w:bookmarkStart w:id="54" w:name="sub_4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4.1.5. Для контроля уровней ЭМП могут использоваться средства измерения, оснащенные датчиками направленного или ненаправленного приема.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4"/>
      <w:bookmarkStart w:id="55" w:name="sub_4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4.1.6. Инструментальный контроль должен осуществляться средствами измерения, прошедшими государственную аттестацию и имеющими свидетельство о поверке. Пределы относительной погрешности средства измерения не должны превышать +-30%.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Гигиеническая оценка результатов измерений осуществляется с учетом погрешности средства измерения.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6" w:name="sub_4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4.1.7. Для измерения уровней ЭМП в диапазоне частот 30 кГц - 300 МГц используются средства измерения, предназначенные для определения среднеквадратичного значения напряженности электрического (магнитного) поля.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6"/>
      <w:bookmarkStart w:id="57" w:name="sub_4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4.1.8. Для измерений уровней ЭМП в диапазоне частот 300 МГц - 300 ГГц используются средства измерения, предназначенные для определения среднего значения плотности потока энергии. Допускается использование средств измерения, предназначенных для определения среднеквадратичного значения напряженности электрического поля с последующим пересчетом в плотность потока энергии в соответствии с методическими указаниями, утвержденными Минздравом России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7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58" w:name="sub_42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4.2. Требования к проведению инструментального контроля уровней электромагнитных полей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5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59" w:name="sub_42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4.2.1. Измерения уровней напряженности электрического (магнитного) поля и плотности потока энергии ЭМП должны проводиться при включении оборудования на максимальную мощность излучения в соответствии с методическими указаниями, утвержденными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59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60" w:name="sub_422"/>
      <w:bookmarkStart w:id="61" w:name="sub_411709028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пункт 4.2.2 настоящих Санитарно-эпидемиологических правил и нормативов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60"/>
      <w:bookmarkEnd w:id="61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4.2.2. Инструментальный контроль уровней ЭМП проводится: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вводе в эксплуатацию ПРТО;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переоформлении (продлении) санитарно-эпидемиологического заключения на ПРТО;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изменении условий и режима работы ПРТО, влияющих на уровни ЭМП (изменение ориентации антенн, увеличение мощности передатчиков и т.д.);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изменении ситуационного плана на территории, прилегающей к ПРТО;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аттестации рабочих мест;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после проведения мероприятий по снижению уровней ЭМП;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не реже одного раза в три года (в зависимости от результатов динамического наблюдения периодичность проведения измерений уровней ЭМП ПРТО может быть сокращена по решению Территориального управления Роспотребнадзора, но не чаще, чем один раз в год);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санитарно-эпидемиологической экспертизе оборудования ПРТО;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при размещении РРС и РГД, если они принадлежат: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юридическим лицам;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физическим лицам, но размещаются с нарушением условий, приведенных в </w:t>
      </w:r>
      <w:r>
        <w:fldChar w:fldCharType="begin"/>
      </w:r>
      <w:r>
        <w:instrText xml:space="preserve"> HYPERLINK "/l%20sub_314"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п.3.14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если РРС и РГД имеют параметры, указанные в </w:t>
      </w:r>
      <w:r>
        <w:fldChar w:fldCharType="begin"/>
      </w:r>
      <w:r>
        <w:instrText xml:space="preserve"> HYPERLINK "/l%20sub_315"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п.3.15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62" w:name="sub_5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V. Мероприятия по профилактике неблагоприятного воздействия на человека электромагнитных полей передающих радиотехнических объектов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6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63" w:name="sub_5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5.1. Обеспечение защиты работающих от неблагоприятного влияния ЭМП осуществляется путем проведения организационных, инженерно-технических и лечебно-профилактических мероприятий.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3"/>
      <w:bookmarkStart w:id="64" w:name="sub_5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5.2. Организационные мероприятия предусматривают: выбор рациональных режимов работы, ограничение продолжительности пребывания персонала в условиях воздействия ЭМП, организация рабочих мест на расстояниях от источников ЭМП, обеспечивающих соблюдение нормативных требований, соблюдение правил безопасной эксплуатации источников ЭМП.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4"/>
      <w:bookmarkStart w:id="65" w:name="sub_5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5.3. Инженерно-технические мероприятия включают рациональное размещение источников ЭМП и применение коллективных и индивидуальных средств защиты, в том числе экранирование источников ЭМП или рабочих мест.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5"/>
      <w:bookmarkStart w:id="66" w:name="sub_5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5.4. Лица, профессионально связанные с воздействием источников ЭМП ПРТО, должны проходить предварительные при поступлении на работу и периодические медицинские осмотры в порядке, установленном соответствующим приказом Министерства здравоохранения Российской Федерации.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6"/>
      <w:bookmarkStart w:id="67" w:name="sub_5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5.5. Владельцы (или уполномоченные лица) ПРТО, зданий, территорий и сооружений, где расположены ПРТО, обязаны пройти обучение по вопросам обеспечения санитарно-эпидемиологических требований электромагнитной безопасности работающих и населения.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7"/>
      <w:bookmarkStart w:id="68" w:name="sub_5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5.6. Во всех случаях размещения ПРТО его владелец обязан рассматривать возможность применения различных методов защиты (пассивных и активных) для защиты общественных и производственных зданий от ЭМП на стадиях проектирования, строительства, реконструкции и эксплуатации.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8"/>
      <w:bookmarkStart w:id="69" w:name="sub_5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5.7. В рекомендациях по защите населения от вторичных ЭМП РЧ необходимо предусматривать меры по ограничению непосредственного доступа к источникам вторичного излучения (элементам конструкции зданий, коммуникациям, различным сетям).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69"/>
      <w:bookmarkStart w:id="70" w:name="sub_5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5.8. Территории (участки крыш), на которых уровень ЭМП превышает ПДУ для населения, и на которые возможен доступ лиц, не связанных непосредственно с обслуживанием ПРТО, должны быть ограждены и/или обозначены предупредительными знаками. При работе на этих участках (кроме персонала ПРТО) передатчики ПРТО должны отключаться.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0"/>
      <w:bookmarkStart w:id="71" w:name="sub_5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5.9. Во всех случаях пребывания в зоне расположения антенн РРС и ИРС на расстояниях, менее регламентируемых </w:t>
      </w:r>
      <w:r>
        <w:fldChar w:fldCharType="begin"/>
      </w:r>
      <w:r>
        <w:instrText xml:space="preserve"> HYPERLINK "/l%20sub_314"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п.п.3.14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и </w:t>
      </w:r>
      <w:r>
        <w:fldChar w:fldCharType="begin"/>
      </w:r>
      <w:r>
        <w:instrText xml:space="preserve"> HYPERLINK "/l%20sub_315"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3.15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, лиц, не связанных с обслуживанием этих антенн, передатчик должен быть выключен.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1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72" w:name="sub_6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VI. Требования к организации и проведению производственного контроля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7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3" w:name="sub_6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6.1. Индивидуальные предприниматели и юридические лица - владельцы (администрация) ПРТО - осуществляют производственный контроль за соблюдением настоящих Санитарных правил и проведением санитарно-противоэпидемических (профилактических) мероприятий в процессе эксплуатации ПРТО.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3"/>
      <w:bookmarkStart w:id="74" w:name="sub_6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6.2. Производственный контроль за соблюдением настоящих Санитарных правил осуществляется в соответствии с нормативными документами по организации и проведению производственного контроля за соблюдением санитарных правил и санитарно-противоэпидемических (профилактических) мероприятий.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4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tbl>
      <w:tblPr>
        <w:tblW w:type="auto" w:w="0"/>
        <w:tblInd w:type="dxa" w:w="-108"/>
        <w:tblBorders>
          <w:top w:color="000000" w:space="0" w:sz="2" w:val="none"/>
          <w:left w:color="000000" w:space="0" w:sz="2" w:val="none"/>
          <w:bottom w:color="000000" w:space="0" w:sz="2" w:val="none"/>
          <w:right w:color="000000" w:space="0" w:sz="2" w:val="none"/>
          <w:insideH w:color="000000" w:space="0" w:sz="2" w:val="none"/>
          <w:insideV w:color="000000" w:space="0" w:sz="2" w:val="none"/>
        </w:tblBorders>
        <w:tblLayout w:type="auto"/>
        <w:tblCellMar>
          <w:top w:type="dxa" w:w="0"/>
          <w:bottom w:type="dxa" w:w="0"/>
          <w:left w:type="dxa" w:w="108"/>
          <w:right w:type="dxa" w:w="108"/>
        </w:tblCellMar>
      </w:tblPr>
      <w:tblGrid>
        <w:gridCol w:w="2880"/>
        <w:gridCol w:w="2880"/>
      </w:tblGrid>
      <w:tr>
        <w:tc>
          <w:tcPr>
            <w:vAlign w:val="top"/>
            <w:textDirection w:val="lrTb"/>
            <w:vAlign w:val="top"/>
            <w:tcW w:type="dxa" w:w="2880"/>
            <w:tcMar>
              <w:right w:type="dxa" w:w="108"/>
              <w:bottom w:type="dxa" w:w="0"/>
              <w:left w:type="dxa" w:w="108"/>
              <w:top w:type="dxa" w:w="0"/>
            </w:tcMar>
            <w:tcBorders>
              <w:top w:color="000000" w:space="0" w:sz="2" w:val="none"/>
              <w:left w:color="000000" w:space="0" w:sz="2" w:val="none"/>
              <w:bottom w:color="000000" w:space="0" w:sz="2" w:val="none"/>
              <w:right w:color="000000" w:space="0" w:sz="2" w:val="none"/>
            </w:tcBorders>
          </w:tcPr>
          <w:p>
            <w:pPr>
              <w:pStyle w:val="StGen0"/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ind w:firstLine="0"/>
              <w:spacing w:after="0" w:line="276" w:lineRule="auto"/>
              <w:jc w:val="left"/>
            </w:pP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Главный государственный </w:t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br w:clear="all" w:type="textWrapping"/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санитарный врач </w:t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br w:clear="all" w:type="textWrapping"/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Российской Федерации, </w:t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br w:clear="all" w:type="textWrapping"/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Первый заместитель </w:t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br w:clear="all" w:type="textWrapping"/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Министра здравоохранения </w:t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br w:clear="all" w:type="textWrapping"/>
            </w: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Российской Федерации </w:t>
            </w:r>
          </w:p>
        </w:tc>
        <w:tc>
          <w:tcPr>
            <w:vAlign w:val="top"/>
            <w:textDirection w:val="lrTb"/>
            <w:vAlign w:val="top"/>
            <w:tcW w:type="dxa" w:w="2880"/>
            <w:tcMar>
              <w:right w:type="dxa" w:w="108"/>
              <w:bottom w:type="dxa" w:w="0"/>
              <w:left w:type="dxa" w:w="108"/>
              <w:top w:type="dxa" w:w="0"/>
            </w:tcMar>
            <w:tcBorders>
              <w:top w:color="000000" w:space="0" w:sz="2" w:val="none"/>
              <w:left w:color="000000" w:space="0" w:sz="2" w:val="none"/>
              <w:bottom w:color="000000" w:space="0" w:sz="2" w:val="none"/>
              <w:right w:color="000000" w:space="0" w:sz="2" w:val="none"/>
            </w:tcBorders>
          </w:tcPr>
          <w:p>
            <w:pPr>
              <w:pStyle w:val="StGen0"/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ind w:firstLine="0"/>
              <w:spacing w:after="0" w:line="276" w:lineRule="auto"/>
              <w:jc w:val="right"/>
            </w:pPr>
            <w:r>
              <w:rPr>
                <w:sz w:val="26"/>
                <w:szCs w:val="26"/>
                <w:lang w:bidi="ar-SA" w:eastAsia="en-US" w:val="ru-RU"/>
                <w:rFonts w:ascii="Arial Cyr" w:eastAsia="Arial Cyr" w:hAnsi="Arial Cyr"/>
              </w:rPr>
              <w:t xml:space="preserve">Г.Г.Онищенко</w:t>
            </w:r>
          </w:p>
        </w:tc>
      </w:tr>
    </w:tbl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75" w:name="sub_1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1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End w:id="7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(обязательное)</w:t>
      </w:r>
    </w:p>
    <w:p>
      <w:pPr>
        <w:pStyle w:val="StGen0"/>
        <w:ind w:firstLine="720"/>
        <w:spacing w:after="0" w:line="276" w:lineRule="auto"/>
        <w:jc w:val="right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2.1.8/2.2.4-03</w:instrText>
      </w:r>
      <w:r>
        <w:fldChar w:fldCharType="end"/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от 2003 г.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76" w:name="sub_11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7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Предельно допустимые уровни электромагнитных полей диапазона частот 30 кГц - 300 ГГц на рабочих0 местах персонала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(с изменениями от 19 декабря 2007 г.)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┌───────────────────┬───────────────────────────────────────────────────────────────────────┐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 Параметр      │                        Диапазонах частот (МГц)        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               ├────────────┬───────────┬─────────────┬───────────────┬────────────────┤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               │ 0,03 - 3,0 │3,0 - 30,0 │ 30,0 - 50,0 │ 50,0 - 300,0  │ 300,0 - 300000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├───────────────────┼────────────┼───────────┼─────────────┼───────────────┼────────────────┤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│Предельно          │   20000    │   7000    │     800     │      800      │       -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│допустимое значение│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│ЭЭ-е, (В/м)2 х ч   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├───────────────────┼────────────┼───────────┼─────────────┼───────────────┼────────────────┤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│Предельно          │    200     │     -     │    0,72     │       -       │       -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│допустимое значение│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│ЭЭ-н,              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│(А/м)2 х ч         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├───────────────────┼────────────┼───────────┼─────────────┼───────────────┼────────────────┤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│Предельно          │     -      │     -     │      -      │       -       │      200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│допустимое значение│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│ЭЭ-ппэ,  (мкВт/см2)│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│х ч                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├───────────────────┼────────────┼───────────┼─────────────┼───────────────┼────────────────┤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│Максимальный ПДУ Е,│    500     │    296    │     80      │      80       │       -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│В/м                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├───────────────────┼────────────┼───────────┼─────────────┼───────────────┼────────────────┤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│Максимальный ПДУ Н,│     50     │     -     │     3,0     │       -       │       -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│А/м                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├───────────────────┼────────────┼───────────┼─────────────┼───────────────┼────────────────┤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│Максимальный    ПДУ│     -      │     -     │             │       -       │      1000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│ППЭ, мкВт/см2      │            │           │             │               │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└───────────────────┴────────────┴───────────┴─────────────┴───────────────┴────────────────┘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диапазоны, приведенные в таблице, исключают нижний и включают верхний предел частоты.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77" w:name="sub_1200"/>
      <w:bookmarkStart w:id="78" w:name="sub_411734476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таблицу 2 настоящего приложения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77"/>
      <w:bookmarkEnd w:id="78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таблицы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Предельно допустимые уровни ЭМП диапазона частот 30 кГц - 300 ГГц для населения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┌────────────────┬──────────────┬─────────────┬────────────┬─────────────┬──────────────────┐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│Диапазон частот │ 30 - 300 кГц │ 0,3 - 3 МГц │ 3 - 30 МГц │30 - 300 МГц │  0,3 - 300 ГГц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├────────────────┼──────────────┴─────────────┴────────────┴─────────────┼──────────────────┤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Нормируемый   │      Напряженность электрического поля, Е (В/м)       │ Плотность потока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параметр    │                                                       │   энергии, ППЭ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            │                                                       │    (мкВт/см2)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├────────────────┼──────────────┬─────────────┬────────────┬─────────────┼──────────────────┤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Предельно    │      25      │     15      │     10     │      3      │        10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допустимые   │              │             │            │             │       25</w:t>
      </w:r>
      <w:r>
        <w:fldChar w:fldCharType="begin"/>
      </w:r>
      <w:r>
        <w:instrText xml:space="preserve"> HYPERLINK "/l%20sub_2222" </w:instrText>
      </w:r>
      <w:r>
        <w:fldChar w:fldCharType="separate"/>
      </w:r>
      <w:r>
        <w:rPr>
          <w:u w:val="single"/>
          <w:sz w:val="14"/>
          <w:szCs w:val="14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│     уровни     │              │             │            │             │                  │</w:t>
      </w:r>
    </w:p>
    <w:p>
      <w:pPr>
        <w:pStyle w:val="StGen0"/>
        <w:rPr>
          <w:sz w:val="14"/>
          <w:szCs w:val="14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14"/>
          <w:szCs w:val="14"/>
          <w:lang w:bidi="ar-SA" w:eastAsia="en-US" w:val="ru-RU"/>
          <w:rFonts w:ascii="Courier New Cyr" w:eastAsia="Courier New Cyr" w:hAnsi="Courier New Cyr"/>
        </w:rPr>
        <w:t xml:space="preserve">└────────────────┴──────────────┴─────────────┴────────────┴─────────────┴──────────────────┘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9" w:name="sub_222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 - для случаев облучения от антенн, работающих в режиме кругового обзора или сканирования.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9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Диапазоны, приведенные в таблице, исключают нижний и включают верхний предел частоты.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0" w:name="sub_202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Исключен.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80"/>
      <w:bookmarkStart w:id="81" w:name="sub_411741940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2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Напряженность электрического поля радиолокационных станций специального назначения, предназначенных для контроля космического пространства, радиостанций для осуществления связи через космическое пространство, работающих в диапазоне частот 150 - 300 МГц в режиме электронного сканирования луча, на территории населенных мест, расположенной в ближней зоне излучения, не должна превышать 6 В/м и на территории населенных мест, расположенных в дальней зоне излучения - 19 В/м.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Граница дальней зоны излучения станций определяется из соотношения: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          2</w:t>
      </w:r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      r = 2 x D /ламбда,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где: r      - расстояние от антенны, м;</w:t>
      </w:r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D      - максимальный линейный размер антенны, м;</w:t>
      </w:r>
    </w:p>
    <w:p>
      <w:pPr>
        <w:pStyle w:val="StGen0"/>
        <w:rPr>
          <w:sz w:val="26"/>
          <w:szCs w:val="26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Courier New Cyr" w:eastAsia="Courier New Cyr" w:hAnsi="Courier New Cyr"/>
        </w:rPr>
        <w:t xml:space="preserve">     ламбда - длина волны, м.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82" w:name="sub_2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2</w:t>
      </w:r>
    </w:p>
    <w:p>
      <w:pPr>
        <w:pStyle w:val="StGen0"/>
        <w:ind w:firstLine="720"/>
        <w:spacing w:after="0" w:line="276" w:lineRule="auto"/>
        <w:jc w:val="right"/>
      </w:pPr>
      <w:bookmarkEnd w:id="82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2.1.8/2.2.4-03</w:instrText>
      </w:r>
      <w:r>
        <w:fldChar w:fldCharType="end"/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от 2003 г.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Перечень сведений, подлежащих включению в санитарно-эпидемиологическое заключение и приложения к нему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(с изменениями от 19 декабря 2007 г.)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3" w:name="sub_21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Наименование владельца ПРТО, его принадлежность (подчиненность) и почтовый адрес.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3"/>
      <w:bookmarkStart w:id="84" w:name="sub_21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Наименование ПРТО (в т.ч. РРС, РГД), место расположения (адрес) и год ввода в эксплуатацию.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4"/>
      <w:bookmarkStart w:id="85" w:name="sub_21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Сведения о реконструкции ПРТО.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5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86" w:name="sub_2004"/>
      <w:bookmarkStart w:id="87" w:name="sub_41174865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в пункт 4 настоящего приложения внесены изменения, вступающие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86"/>
      <w:bookmarkEnd w:id="87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текст пункта в предыдущей редакции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Ситуационный план в масштабе 1:500-1:2000 с указанием мест установки антенн, прилегающей территории, зданий с отметкой их этажности, а также границ СЗЗ (составляется для стационарно размещенных средств радиосвязи).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88" w:name="sub_21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Количество передатчиков и их мощность; рабочие частоты (диапазон частот) по каждому передатчику; тип модуляции.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8"/>
      <w:bookmarkStart w:id="89" w:name="sub_21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6. Сведения по каждой антенне: тип, высота установки антенны от поверхности земли, азимут и угол места максимального излучения, диаграммы направленности в горизонтальной и вертикальной плоскостях и коэффициент усиления (кроме антенн НЧ, СЧ и ВЧ диапазонов), с каким передатчиком работает антенна. По радиолокационным станциям дополнительно представляются сведения о частоте посылки импульсов, длительности импульса, частоте вращения антенны.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89"/>
      <w:bookmarkStart w:id="90" w:name="sub_217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7. Временные характеристики работы передатчиков на излучение.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0"/>
      <w:bookmarkStart w:id="91" w:name="sub_218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8. Материалы расчета распределения уровней ЭМП на прилегающей к ПРТО территории с указанием границ СЗЗ и зон ограничения.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1"/>
      <w:bookmarkStart w:id="92" w:name="sub_21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9. Результаты (протоколы) измерений уровней электромагнитных полей на территории, прилегающей к ПРТО (за исключением проектируемых объектов).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Примечание: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При работе ПРТО, установленного на транспортных средствах при работе на постоянных или временных стоянках, санитарно-эпидемиологическое заключение выдается на объект базирования транспортных средств в целом, либо на одиночное транспортное средство.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Сведения, подлежащие включению в санитарно-эпидемиологическое заключение ПРТО, предоставляются владельцем (администрацией) территории (крыши, опоры) ПРТО и служат основанием для проведения санитарно-эпидемиологической экспертизы. Сведения по </w:t>
      </w:r>
      <w:r>
        <w:fldChar w:fldCharType="begin"/>
      </w:r>
      <w:r>
        <w:instrText xml:space="preserve"> HYPERLINK "/l%20sub_2004"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п.п.4 - 9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включаются в приложение к санитарно-эпидемиологическому заключению.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93" w:name="sub_3000"/>
      <w:bookmarkStart w:id="94" w:name="sub_411754848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Санитарно-эпидемиологическими правилами и нормативами СанПиН 2.1.8/2.2.4.2302-07, утвержденными постановлением Главного государственного санитарного врача РФ от 19 декабря 2007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 N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91 настоящие Санитарно-эпидемиологические правила дополнены приложением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3, вступающим в силу с 20 февраля 2008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 </w:t>
      </w:r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bookmarkEnd w:id="93"/>
      <w:bookmarkEnd w:id="94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Приложение 3</w:t>
      </w:r>
    </w:p>
    <w:p>
      <w:pPr>
        <w:pStyle w:val="StGen0"/>
        <w:ind w:firstLine="720"/>
        <w:spacing w:after="0" w:line="276" w:lineRule="auto"/>
        <w:jc w:val="right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к </w:t>
      </w:r>
      <w:r>
        <w:fldChar w:fldCharType="begin"/>
      </w:r>
      <w:r>
        <w:instrText xml:space="preserve"> HYPERLINK "/l%20sub_10000" </w:instrText>
      </w:r>
      <w:r>
        <w:fldChar w:fldCharType="separate"/>
      </w:r>
      <w:r>
        <w:rPr>
          <w:b/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СанПиН 2.1.8/2.2.4.1383-03</w:instrText>
      </w:r>
      <w:r>
        <w:fldChar w:fldCharType="end"/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Условия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размещения земных станций спутниковой связи, при которых не требуется согласования с органами Роспотребнадзора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Настоящее приложение распространяется на ЗССС типа "Вымпел" (Вымпел-К) производства ЗАО "Сатис-ТЛ-94" с рабочей мощностью передатчика до 20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Вт, диаметром антенны до 3,5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 включительно и рабочих частотах 5775-6525 и 13750-14500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МГц при отсутствии на объекте других передающих радиотехнических средств, требующих согласования размещения согласно действующим санитарно-эпидемиологическим требованиям.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5" w:name="sub_300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Согласования размещения ЗССС не требуется, если границы технической территории ПРТО, отсчитываемые вперед от центра излучения передающей антенны, а также в стороны под углом 90° от края зеркала антенны и назад от крайней точки антенны отстоят на расстоянии не менее указанного в табл. 1 и </w:t>
      </w:r>
      <w:r>
        <w:fldChar w:fldCharType="begin"/>
      </w:r>
      <w:r>
        <w:instrText xml:space="preserve"> HYPERLINK "/l%20sub_3020"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2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5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96" w:name="sub_301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96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Расстояние от антенны ЗССС до границы технической территории (м) при величине рабочей мощности передатчика до 10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 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Вт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┌──────────────┬────────────────────────────┬───────────────────────────┐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Угол     │  По направлению излучения  │       Сбоку и сзади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направления  ├─────────────┬──────────────┼─────────────┬─────────────┤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излучения к  │5775-6525 МГц│ 13750-14500  │5775-6525 МГц│ 13750-14500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горизонту   │             │     МГц      │             │     МГц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│(угол места), ├─────────────┴──────────────┴─────────────┴─────────────┤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град     │           Высота центра излучения 2,9/3,5</w:t>
      </w:r>
      <w:r>
        <w:fldChar w:fldCharType="begin"/>
      </w:r>
      <w:r>
        <w:instrText xml:space="preserve"> HYPERLINK "/l%20sub_31111" </w:instrText>
      </w:r>
      <w:r>
        <w:fldChar w:fldCharType="separate"/>
      </w:r>
      <w:r>
        <w:rPr>
          <w:u w:val="single"/>
          <w:sz w:val="20"/>
          <w:szCs w:val="20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м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├──────────────┼─────────────┬──────────────┬─────────────┬─────────────┤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&lt;8      │     18      │      9       │      3      │      3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от 8 до 12  │      6      │      6       │      3      │      3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12 до 20  │      4      │      6       │      3      │      3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&gt;20      │      4      │      3       │      3      │      3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├──────────────┼─────────────┴──────────────┴─────────────┴─────────────┤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           Высота центра излучения 3,9/4,5</w:t>
      </w:r>
      <w:r>
        <w:fldChar w:fldCharType="begin"/>
      </w:r>
      <w:r>
        <w:instrText xml:space="preserve"> HYPERLINK "/l%20sub_31111" </w:instrText>
      </w:r>
      <w:r>
        <w:fldChar w:fldCharType="separate"/>
      </w:r>
      <w:r>
        <w:rPr>
          <w:u w:val="single"/>
          <w:sz w:val="20"/>
          <w:szCs w:val="20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м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├──────────────┼─────────────┬──────────────┬─────────────┬─────────────┤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&lt;8      │      5      │      6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от 8 до 12  │      5      │      6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12 до 20  │      2      │      3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&gt;20      │      2      │      2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├──────────────┼─────────────┴──────────────┴─────────────┴─────────────┤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          Высота центра излучения &gt; 4,9/5,5</w:t>
      </w:r>
      <w:r>
        <w:fldChar w:fldCharType="begin"/>
      </w:r>
      <w:r>
        <w:instrText xml:space="preserve"> HYPERLINK "/l%20sub_31111" </w:instrText>
      </w:r>
      <w:r>
        <w:fldChar w:fldCharType="separate"/>
      </w:r>
      <w:r>
        <w:rPr>
          <w:u w:val="single"/>
          <w:sz w:val="20"/>
          <w:szCs w:val="20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м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├──────────────┼─────────────┬──────────────┬─────────────┬─────────────┤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&lt;8      │      2      │      2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от 8 до 12  │      2      │      2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12 до 20  │      2      │      2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&gt;20      │      2      │      2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└──────────────┴─────────────┴──────────────┴─────────────┴─────────────┘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97" w:name="sub_302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97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Расстояние от антенны ЗССС до границы технической территории (м) при величине рабочей мощности передатчика 10-20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 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Вт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┌──────────────┬────────────────────────────┬───────────────────────────┐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Угол     │  По направлению излучения  │       Сбоку и сзади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направления  ├─────────────┬──────────────┼─────────────┬─────────────┤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излучения к  │5775-6525 МГц│ 13750-14500  │5775-6525 МГц│ 13750-14500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горизонту   │             │     МГц      │             │     МГц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│(угол места), ├─────────────┴──────────────┴─────────────┴─────────────┤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град     │           Высота центра излучения 2,9/3,5</w:t>
      </w:r>
      <w:r>
        <w:fldChar w:fldCharType="begin"/>
      </w:r>
      <w:r>
        <w:instrText xml:space="preserve"> HYPERLINK "/l%20sub_31111" </w:instrText>
      </w:r>
      <w:r>
        <w:fldChar w:fldCharType="separate"/>
      </w:r>
      <w:r>
        <w:rPr>
          <w:u w:val="single"/>
          <w:sz w:val="20"/>
          <w:szCs w:val="20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м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├──────────────┼─────────────┬──────────────┬─────────────┬─────────────┤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&lt;8      │     18      │      15      │      3      │      3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от 8 до 12  │      9      │      9       │      3      │      3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12 до 20  │      6      │      6       │      3      │      3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&gt;20      │      4      │      4       │      3      │      3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├──────────────┼─────────────┴──────────────┴─────────────┴─────────────┤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           Высота центра излучения 3,9/4,5</w:t>
      </w:r>
      <w:r>
        <w:fldChar w:fldCharType="begin"/>
      </w:r>
      <w:r>
        <w:instrText xml:space="preserve"> HYPERLINK "/l%20sub_31111" </w:instrText>
      </w:r>
      <w:r>
        <w:fldChar w:fldCharType="separate"/>
      </w:r>
      <w:r>
        <w:rPr>
          <w:u w:val="single"/>
          <w:sz w:val="20"/>
          <w:szCs w:val="20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м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├──────────────┼─────────────┬──────────────┬─────────────┬─────────────┤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&lt;8      │      5      │      6       │      2      │      3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от 8 до 12  │      5      │      6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12 до 20  │      5      │      5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&gt;20      │      2      │      3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├──────────────┼─────────────┴──────────────┴─────────────┴─────────────┤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        │          Высота центра излучения &gt; 4,9/5,5</w:t>
      </w:r>
      <w:r>
        <w:fldChar w:fldCharType="begin"/>
      </w:r>
      <w:r>
        <w:instrText xml:space="preserve"> HYPERLINK "/l%20sub_31111" </w:instrText>
      </w:r>
      <w:r>
        <w:fldChar w:fldCharType="separate"/>
      </w:r>
      <w:r>
        <w:rPr>
          <w:u w:val="single"/>
          <w:sz w:val="20"/>
          <w:szCs w:val="20"/>
          <w:lang w:bidi="ar-SA" w:eastAsia="en-US" w:val="ru-RU"/>
          <w:rFonts w:ascii="Courier New Cyr" w:eastAsia="Courier New Cyr" w:hAnsi="Courier New Cyr"/>
          <w:color w:val="008000"/>
        </w:rPr>
        <w:instrText xml:space="preserve">*</w:instrText>
      </w:r>
      <w:r>
        <w:fldChar w:fldCharType="end"/>
      </w: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м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├──────────────┼─────────────┬──────────────┬─────────────┬─────────────┤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 &lt;8      │      2      │      2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от 8 до 12  │      2      │      2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от 12 до 20  │      2      │      2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├──────────────┼─────────────┼──────────────┼─────────────┼─────────────┤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│     &gt;20      │      2      │      2       │      2      │      2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└──────────────┴─────────────┴──────────────┴─────────────┴─────────────┘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______________________________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8" w:name="sub_3111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*Для антенн диаметром до 2,4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м/3,5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8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9" w:name="sub_300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При установке антенн на крыше зданий в 2 этажа и выше выделения технической территории вокруг здания не требуется. При установке антенн на крыше зданий, предназначенных для пребывания людей (производственных, жилых и общественных) они должны размещаться на расстоянии не менее 2 метров от края стен при соблюдении одного из следующих условий: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9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наличие железобетонного перекрытия верхнего этажа;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наличие металлической кровли или покрытия технической территории ПРТО экранирующим металлическим листом;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- наличие технического этажа.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00" w:name="sub_300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Расстояние от оси излучения антенны до ближайшего строения должно составлять не менее 7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0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Владелец ЗССС обязан уведомить Управление Роспотребнадзора в субъекте Федерации о вводе ЗССС в эксплуатацию и указать ее параметры (высота установки, рабочая мощность передатчика, угол направления излучения к горизонту и азимут излучения), адрес установки, размеры технической территории и минимальное расстояние от оси излучения антенны до ближайшего строения, параметры размещения антенных устройств. Владелец ЗССС обязан подтвердить, что параметры ЗССС соответствуют требованиям настоящего приложения к СанПиН.</w:t>
      </w:r>
    </w:p>
    <w:p>
      <w:pPr>
        <w:pStyle w:val=""/>
      </w:pPr>
      <w:r/>
    </w:p>
    <w:sectPr>
      <w:headerReference r:id="rId2" w:type="even"/>
      <w:headerReference r:id="rId3" w:type="default"/>
      <w:headerReference r:id="rId4" w:type="first"/>
      <w:footerReference r:id="rId5" w:type="even"/>
      <w:footerReference r:id="rId6" w:type="default"/>
      <w:type w:val="nextPage"/>
      <w:pgSz w:h="16836" w:w="11904"/>
      <w:pgMar w:bottom="1440" w:footer="720" w:gutter="0" w:header="720" w:left="1134" w:right="850" w:top="1440"/>
      <w:cols w:num="1" w:space="720"/>
    </w:sectPr>
  </w:body>
</w:document>
</file>

<file path=word/fontTable.xml><?xml version="1.0" encoding="utf-8"?>
<w:fonts xmlns:w="http://schemas.openxmlformats.org/wordprocessingml/2006/main">
  <w:font w:name="Arial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Courier New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Courier New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Symbol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Verdana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Times New Roman">
    <w:charset w:val="01"/>
    <w:family w:val="auto"/>
    <w:panose1 w:val="00000000000000000000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footer2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2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3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settings.xml><?xml version="1.0" encoding="utf-8"?>
<w:settings xmlns:w="http://schemas.openxmlformats.org/wordprocessingml/2006/main">
  <w:zoom w:percent="0"/>
  <w:embedSystemFonts/>
  <w:defaultTabStop w:val="0"/>
  <w:compat>
    <w:adjustLineHeightInTable/>
    <w:balanceSingleByteDoubleByteWidth/>
    <w:doNotExpandShiftReturn/>
    <w:doNotLeaveBackslashAlone/>
    <w:ulTrailSpace/>
  </w:compat>
  <w:rsids/>
</w:settings>
</file>

<file path=word/styles.xml><?xml version="1.0" encoding="utf-8"?>
<w:styles xmlns:w="http://schemas.openxmlformats.org/wordprocessingml/2006/main">
  <w:docDefaults>
    <w:rPrDefault>
      <w:rPr>
        <w:rFonts w:ascii="Arial Cyr" w:eastAsia="Arial Cyr" w:hAnsi="Arial Cyr" w:cs="Arial Cyr"/>
      </w:rPr>
    </w:rPrDefault>
    <w:pPrDefault/>
  </w:docDefaults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tGen0">
    <w:name w:val="StGen0"/>
    <w:next w:val=""/>
    <w:link w:val=""/>
  </w:style>
  <w:style w:type="character" w:styleId="StGen1">
    <w:name w:val="StGen1"/>
    <w:next w:val=""/>
    <w:link w:val=""/>
    <w:semiHidden/>
  </w:style>
  <w:style w:type="table" w:styleId="StGen2">
    <w:name w:val="StGen2"/>
    <w:next w:val=""/>
    <w:link w:val=""/>
    <w:semiHidden/>
    <w:tblPr>
      <w:tblLayout w:type="auto"/>
      <w:tblCellMar>
        <w:left w:type="dxa" w:w="0"/>
        <w:right w:type="dxa" w:w="0"/>
      </w:tblCellMar>
    </w:tblPr>
    <w:tblGrid/>
  </w:style>
  <w:style w:type="numbering" w:styleId="StGen3">
    <w:name w:val="StGen3"/>
    <w:next w:val=""/>
    <w:link w:val=""/>
    <w:semiHidden/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header" Target="header2.xml" /><Relationship Id="rId4" Type="http://schemas.openxmlformats.org/officeDocument/2006/relationships/header" Target="header3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styles" Target="styles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